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CD09" w14:textId="233DD881" w:rsidR="006C172F" w:rsidRPr="00A7431D" w:rsidRDefault="006C172F" w:rsidP="00A7431D">
      <w:pPr>
        <w:spacing w:after="0" w:line="240" w:lineRule="auto"/>
        <w:jc w:val="center"/>
        <w:rPr>
          <w:rFonts w:ascii="Sylfaen" w:eastAsia="Times New Roman" w:hAnsi="Sylfaen"/>
          <w:b/>
          <w:color w:val="333333"/>
          <w:sz w:val="24"/>
          <w:szCs w:val="18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 xml:space="preserve">ტენდერი </w:t>
      </w:r>
      <w:r w:rsidR="00E67992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>მონეტის</w:t>
      </w:r>
      <w:r w:rsidRPr="00A7431D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 xml:space="preserve"> სათვლელ</w:t>
      </w:r>
      <w:r w:rsidR="00D46C41" w:rsidRPr="00A7431D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>ი</w:t>
      </w:r>
      <w:r w:rsidR="00836BAF" w:rsidRPr="00A7431D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 xml:space="preserve"> </w:t>
      </w:r>
      <w:r w:rsidR="0071786F" w:rsidRPr="00A7431D">
        <w:rPr>
          <w:rFonts w:ascii="Sylfaen" w:eastAsia="Times New Roman" w:hAnsi="Sylfaen"/>
          <w:b/>
          <w:color w:val="333333"/>
          <w:sz w:val="24"/>
          <w:szCs w:val="18"/>
          <w:lang w:val="ka-GE"/>
        </w:rPr>
        <w:t>აპარატების შესყიდვაზე</w:t>
      </w:r>
    </w:p>
    <w:p w14:paraId="12DD9DCD" w14:textId="77777777" w:rsidR="002F4CDC" w:rsidRPr="00A7431D" w:rsidRDefault="002F4CDC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18"/>
          <w:szCs w:val="18"/>
          <w:lang w:val="ka-GE"/>
        </w:rPr>
      </w:pPr>
    </w:p>
    <w:p w14:paraId="5AFB788B" w14:textId="77777777" w:rsidR="00806B56" w:rsidRPr="00A7431D" w:rsidRDefault="00806B56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18"/>
          <w:szCs w:val="18"/>
          <w:lang w:val="ka-GE"/>
        </w:rPr>
      </w:pPr>
    </w:p>
    <w:p w14:paraId="7C4C59BD" w14:textId="24555390" w:rsidR="006C172F" w:rsidRPr="00A7431D" w:rsidRDefault="006C172F" w:rsidP="00375E1E">
      <w:pPr>
        <w:spacing w:after="0" w:line="240" w:lineRule="auto"/>
        <w:ind w:firstLine="360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სს „საქართველოს ბანკი“ აცხადებს ტენდერს </w:t>
      </w:r>
      <w:r w:rsidR="000C489E">
        <w:rPr>
          <w:rFonts w:ascii="Sylfaen" w:eastAsia="Times New Roman" w:hAnsi="Sylfaen"/>
          <w:color w:val="333333"/>
          <w:sz w:val="20"/>
          <w:szCs w:val="20"/>
        </w:rPr>
        <w:t>35</w:t>
      </w:r>
      <w:r w:rsidR="000C489E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(ოცდათხუთმეტი</w:t>
      </w:r>
      <w:r w:rsidR="00375E1E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) ერთეული </w:t>
      </w:r>
      <w:r w:rsidR="00E67992">
        <w:rPr>
          <w:rFonts w:ascii="Sylfaen" w:eastAsia="Times New Roman" w:hAnsi="Sylfaen"/>
          <w:color w:val="333333"/>
          <w:sz w:val="20"/>
          <w:szCs w:val="20"/>
          <w:lang w:val="ka-GE"/>
        </w:rPr>
        <w:t>მონეტის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სათვლელ</w:t>
      </w:r>
      <w:r w:rsidR="000376B8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ი </w:t>
      </w:r>
      <w:r w:rsidR="00FE34A9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აპარატების შესყიდვაზე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:</w:t>
      </w:r>
    </w:p>
    <w:p w14:paraId="181BA16C" w14:textId="77777777" w:rsidR="002F4CDC" w:rsidRPr="00A7431D" w:rsidRDefault="002F4CDC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430"/>
        <w:gridCol w:w="1980"/>
        <w:gridCol w:w="1350"/>
        <w:gridCol w:w="1980"/>
        <w:gridCol w:w="1800"/>
      </w:tblGrid>
      <w:tr w:rsidR="00542625" w:rsidRPr="00A7431D" w14:paraId="4A51673C" w14:textId="77777777" w:rsidTr="00A41D2C">
        <w:tc>
          <w:tcPr>
            <w:tcW w:w="2430" w:type="dxa"/>
          </w:tcPr>
          <w:p w14:paraId="770C6627" w14:textId="77777777" w:rsidR="00542625" w:rsidRPr="00404F0B" w:rsidRDefault="00542625" w:rsidP="00A7431D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საქონლის</w:t>
            </w:r>
          </w:p>
          <w:p w14:paraId="31B7CFAB" w14:textId="77777777" w:rsidR="00542625" w:rsidRPr="00404F0B" w:rsidRDefault="00542625" w:rsidP="00A7431D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980" w:type="dxa"/>
          </w:tcPr>
          <w:p w14:paraId="73A6A35E" w14:textId="77777777" w:rsidR="00542625" w:rsidRPr="00404F0B" w:rsidRDefault="00013C20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ტიპი</w:t>
            </w:r>
          </w:p>
        </w:tc>
        <w:tc>
          <w:tcPr>
            <w:tcW w:w="1350" w:type="dxa"/>
          </w:tcPr>
          <w:p w14:paraId="5AD63B97" w14:textId="77777777" w:rsidR="00542625" w:rsidRPr="00404F0B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შესასყიდი </w:t>
            </w:r>
          </w:p>
          <w:p w14:paraId="67B9062A" w14:textId="77777777" w:rsidR="00542625" w:rsidRPr="00404F0B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რა-ბა</w:t>
            </w:r>
          </w:p>
        </w:tc>
        <w:tc>
          <w:tcPr>
            <w:tcW w:w="1980" w:type="dxa"/>
          </w:tcPr>
          <w:p w14:paraId="402E7231" w14:textId="77777777" w:rsidR="00865B9F" w:rsidRPr="00404F0B" w:rsidRDefault="00865B9F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ერთეულის</w:t>
            </w:r>
            <w:r w:rsidR="00542625"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 </w:t>
            </w: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 </w:t>
            </w:r>
            <w:r w:rsidR="00542625"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ფასი</w:t>
            </w:r>
          </w:p>
          <w:p w14:paraId="50DFA215" w14:textId="386FADE7" w:rsidR="00542625" w:rsidRPr="00404F0B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(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ა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შ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შ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 </w:t>
            </w: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დოლარი)</w:t>
            </w:r>
          </w:p>
        </w:tc>
        <w:tc>
          <w:tcPr>
            <w:tcW w:w="1800" w:type="dxa"/>
          </w:tcPr>
          <w:p w14:paraId="2E59E921" w14:textId="18E7E14C" w:rsidR="00542625" w:rsidRPr="00404F0B" w:rsidRDefault="00865B9F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ჯამური </w:t>
            </w:r>
            <w:r w:rsidR="00542625"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ფასი (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ა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შ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შ</w:t>
            </w:r>
            <w:r w:rsidR="006353D3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.</w:t>
            </w:r>
            <w:r w:rsidR="00A41D2C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 </w:t>
            </w:r>
            <w:r w:rsidR="00542625"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დოლარი)</w:t>
            </w:r>
          </w:p>
        </w:tc>
      </w:tr>
      <w:tr w:rsidR="00542625" w:rsidRPr="00A7431D" w14:paraId="1D37392E" w14:textId="77777777" w:rsidTr="00A41D2C">
        <w:trPr>
          <w:trHeight w:val="53"/>
        </w:trPr>
        <w:tc>
          <w:tcPr>
            <w:tcW w:w="2430" w:type="dxa"/>
          </w:tcPr>
          <w:p w14:paraId="2FF2573E" w14:textId="1F04A735" w:rsidR="00542625" w:rsidRPr="00A7431D" w:rsidRDefault="00E67992" w:rsidP="00A7431D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მონ</w:t>
            </w:r>
            <w:r w:rsidR="00971354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ე</w:t>
            </w:r>
            <w:r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ტის</w:t>
            </w:r>
            <w:r w:rsidR="00542625" w:rsidRPr="00A7431D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 xml:space="preserve"> სათვლელი აპარატი</w:t>
            </w:r>
          </w:p>
        </w:tc>
        <w:tc>
          <w:tcPr>
            <w:tcW w:w="1980" w:type="dxa"/>
          </w:tcPr>
          <w:p w14:paraId="7F09B552" w14:textId="2B99AD39" w:rsidR="00542625" w:rsidRPr="00A7431D" w:rsidRDefault="00EA3C44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იხილ.</w:t>
            </w:r>
            <w:r w:rsidR="00013C20" w:rsidRPr="00A7431D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 xml:space="preserve">ტექნიკური </w:t>
            </w:r>
            <w:r w:rsidR="00013C20" w:rsidRPr="00A7431D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სპეციფიკაციები</w:t>
            </w:r>
          </w:p>
        </w:tc>
        <w:tc>
          <w:tcPr>
            <w:tcW w:w="1350" w:type="dxa"/>
          </w:tcPr>
          <w:p w14:paraId="327DF5CA" w14:textId="06EA8E7F" w:rsidR="00542625" w:rsidRPr="00A7431D" w:rsidRDefault="000C489E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20"/>
                <w:szCs w:val="20"/>
              </w:rPr>
              <w:t>35</w:t>
            </w:r>
            <w:r w:rsidR="00542625" w:rsidRPr="00A7431D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980" w:type="dxa"/>
          </w:tcPr>
          <w:p w14:paraId="254B088C" w14:textId="77777777" w:rsidR="00542625" w:rsidRPr="00A7431D" w:rsidRDefault="00542625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A93A53F" w14:textId="77777777" w:rsidR="00542625" w:rsidRPr="00A7431D" w:rsidRDefault="00542625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</w:p>
        </w:tc>
      </w:tr>
    </w:tbl>
    <w:p w14:paraId="6A9964A3" w14:textId="77777777" w:rsidR="00FE34A9" w:rsidRPr="00A7431D" w:rsidRDefault="00FE34A9" w:rsidP="00BF3C28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19B6B3A2" w14:textId="77777777" w:rsidR="00013C20" w:rsidRPr="00A7431D" w:rsidRDefault="00013C20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tbl>
      <w:tblPr>
        <w:tblStyle w:val="TableGrid"/>
        <w:tblW w:w="4410" w:type="dxa"/>
        <w:tblInd w:w="108" w:type="dxa"/>
        <w:tblLook w:val="04A0" w:firstRow="1" w:lastRow="0" w:firstColumn="1" w:lastColumn="0" w:noHBand="0" w:noVBand="1"/>
      </w:tblPr>
      <w:tblGrid>
        <w:gridCol w:w="2430"/>
        <w:gridCol w:w="1980"/>
      </w:tblGrid>
      <w:tr w:rsidR="00DD7EB8" w:rsidRPr="00A7431D" w14:paraId="79D18246" w14:textId="42745FE4" w:rsidTr="00DD7EB8">
        <w:tc>
          <w:tcPr>
            <w:tcW w:w="2430" w:type="dxa"/>
          </w:tcPr>
          <w:p w14:paraId="11160F58" w14:textId="77777777" w:rsidR="00DD7EB8" w:rsidRPr="00404F0B" w:rsidRDefault="00DD7EB8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საგარანტიო პერიოდი (თვე)</w:t>
            </w:r>
          </w:p>
        </w:tc>
        <w:tc>
          <w:tcPr>
            <w:tcW w:w="1980" w:type="dxa"/>
          </w:tcPr>
          <w:p w14:paraId="16574D02" w14:textId="77777777" w:rsidR="00DD7EB8" w:rsidRPr="00404F0B" w:rsidRDefault="00DD7EB8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მოწოდების ვადა (კლ.დღე)</w:t>
            </w:r>
          </w:p>
        </w:tc>
      </w:tr>
      <w:tr w:rsidR="00DD7EB8" w:rsidRPr="00A7431D" w14:paraId="7B63F1AF" w14:textId="6E1AFF61" w:rsidTr="00DD7EB8">
        <w:trPr>
          <w:trHeight w:val="349"/>
        </w:trPr>
        <w:tc>
          <w:tcPr>
            <w:tcW w:w="2430" w:type="dxa"/>
          </w:tcPr>
          <w:p w14:paraId="757FBF46" w14:textId="209E1CE8" w:rsidR="00DD7EB8" w:rsidRPr="00A7431D" w:rsidRDefault="00DD7EB8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14:paraId="40D9C668" w14:textId="77777777" w:rsidR="00DD7EB8" w:rsidRPr="00A7431D" w:rsidRDefault="00DD7EB8" w:rsidP="00EF6B13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</w:p>
        </w:tc>
      </w:tr>
    </w:tbl>
    <w:p w14:paraId="26B7CFFD" w14:textId="77777777" w:rsidR="003B586D" w:rsidRDefault="003B586D" w:rsidP="003B586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781A5200" w14:textId="77777777" w:rsidR="008D0DF7" w:rsidRDefault="008D0DF7" w:rsidP="003B586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4320"/>
        <w:gridCol w:w="2340"/>
      </w:tblGrid>
      <w:tr w:rsidR="00DD7EB8" w:rsidRPr="00A7431D" w14:paraId="60885D78" w14:textId="77777777" w:rsidTr="00023B91">
        <w:tc>
          <w:tcPr>
            <w:tcW w:w="2880" w:type="dxa"/>
          </w:tcPr>
          <w:p w14:paraId="01F30AA7" w14:textId="2F516761" w:rsidR="00DD7EB8" w:rsidRPr="00404F0B" w:rsidRDefault="00DD7EB8" w:rsidP="00DD7EB8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</w:rPr>
              <w:t>სა</w:t>
            </w:r>
            <w:proofErr w:type="spellEnd"/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ჭიროებს თუ არა აპარატი პერიოდულ წმენდას</w:t>
            </w:r>
          </w:p>
        </w:tc>
        <w:tc>
          <w:tcPr>
            <w:tcW w:w="4320" w:type="dxa"/>
          </w:tcPr>
          <w:p w14:paraId="0BC48147" w14:textId="5184D584" w:rsidR="00DD7EB8" w:rsidRPr="00404F0B" w:rsidRDefault="00DD7EB8" w:rsidP="00DD7EB8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გარანტია </w:t>
            </w:r>
            <w:r w:rsidRPr="00404F0B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მოიცავს თუ არა აპარატის </w:t>
            </w:r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პერიოდულ წმენდას საგარანტიო პერიოდში</w:t>
            </w:r>
          </w:p>
        </w:tc>
        <w:tc>
          <w:tcPr>
            <w:tcW w:w="2340" w:type="dxa"/>
          </w:tcPr>
          <w:p w14:paraId="43144697" w14:textId="77777777" w:rsidR="00023B91" w:rsidRDefault="00247DEF" w:rsidP="00DD7EB8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 xml:space="preserve">ერთეული აპარატის </w:t>
            </w:r>
          </w:p>
          <w:p w14:paraId="7AF4265E" w14:textId="7BE4E325" w:rsidR="00DD7EB8" w:rsidRDefault="00247DEF" w:rsidP="00DD7EB8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წმენდ</w:t>
            </w:r>
            <w:r w:rsidR="00DD7EB8"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  <w:t>ის ტარიფი</w:t>
            </w:r>
          </w:p>
          <w:p w14:paraId="2D38C855" w14:textId="5B78C46C" w:rsidR="00DD7EB8" w:rsidRPr="00404F0B" w:rsidRDefault="00DD7EB8" w:rsidP="00DD7EB8">
            <w:pPr>
              <w:jc w:val="center"/>
              <w:rPr>
                <w:rFonts w:ascii="Sylfaen" w:eastAsia="Times New Roman" w:hAnsi="Sylfaen"/>
                <w:b/>
                <w:color w:val="333333"/>
                <w:sz w:val="20"/>
                <w:szCs w:val="20"/>
                <w:lang w:val="ka-GE"/>
              </w:rPr>
            </w:pPr>
          </w:p>
        </w:tc>
      </w:tr>
      <w:tr w:rsidR="00DD7EB8" w:rsidRPr="00A7431D" w14:paraId="6F742C35" w14:textId="77777777" w:rsidTr="00023B91">
        <w:trPr>
          <w:trHeight w:val="349"/>
        </w:trPr>
        <w:tc>
          <w:tcPr>
            <w:tcW w:w="2880" w:type="dxa"/>
          </w:tcPr>
          <w:p w14:paraId="7BE89C83" w14:textId="0370EC86" w:rsidR="00DD7EB8" w:rsidRPr="00A7431D" w:rsidRDefault="00DD7EB8" w:rsidP="00DD7EB8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კი / არა</w:t>
            </w:r>
          </w:p>
        </w:tc>
        <w:tc>
          <w:tcPr>
            <w:tcW w:w="4320" w:type="dxa"/>
          </w:tcPr>
          <w:p w14:paraId="77897DAD" w14:textId="2A3E4415" w:rsidR="00DD7EB8" w:rsidRPr="00A7431D" w:rsidRDefault="00DD7EB8" w:rsidP="00DD7EB8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  <w:r w:rsidRPr="00A7431D"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  <w:t>კი / არა</w:t>
            </w:r>
          </w:p>
        </w:tc>
        <w:tc>
          <w:tcPr>
            <w:tcW w:w="2340" w:type="dxa"/>
          </w:tcPr>
          <w:p w14:paraId="6574C54D" w14:textId="0CA02A75" w:rsidR="00DD7EB8" w:rsidRPr="00A7431D" w:rsidRDefault="00DD7EB8" w:rsidP="00DD7EB8">
            <w:pPr>
              <w:jc w:val="center"/>
              <w:rPr>
                <w:rFonts w:ascii="Sylfaen" w:eastAsia="Times New Roman" w:hAnsi="Sylfaen"/>
                <w:color w:val="333333"/>
                <w:sz w:val="20"/>
                <w:szCs w:val="20"/>
                <w:lang w:val="ka-GE"/>
              </w:rPr>
            </w:pPr>
          </w:p>
        </w:tc>
      </w:tr>
    </w:tbl>
    <w:p w14:paraId="74B2DEFE" w14:textId="77777777" w:rsidR="003B586D" w:rsidRPr="003B586D" w:rsidRDefault="003B586D" w:rsidP="003B586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</w:rPr>
      </w:pPr>
    </w:p>
    <w:p w14:paraId="4591DA65" w14:textId="77777777" w:rsidR="003357B7" w:rsidRPr="00A7431D" w:rsidRDefault="003357B7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ტექნიკური სპეციფიკაცია:</w:t>
      </w:r>
    </w:p>
    <w:p w14:paraId="344C6B2F" w14:textId="0A0D3E0E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სიგანე</w:t>
      </w:r>
      <w:r w:rsidR="00A7431D">
        <w:rPr>
          <w:rFonts w:ascii="Sylfaen" w:eastAsia="Times New Roman" w:hAnsi="Sylfaen"/>
          <w:color w:val="333333"/>
          <w:sz w:val="20"/>
          <w:szCs w:val="20"/>
          <w:lang w:val="ka-GE"/>
        </w:rPr>
        <w:t>: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არაუმეტეს 228 მმ</w:t>
      </w:r>
    </w:p>
    <w:p w14:paraId="72B8C5B5" w14:textId="39124680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სიღრე</w:t>
      </w:r>
      <w:r w:rsid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: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არაუმეტეს 325 მმ</w:t>
      </w:r>
    </w:p>
    <w:p w14:paraId="3585B694" w14:textId="0D277BCE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სიმაღლე</w:t>
      </w:r>
      <w:r w:rsid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: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არაუმეტეს 165 მმ</w:t>
      </w:r>
    </w:p>
    <w:p w14:paraId="65BA0F20" w14:textId="3EC533D3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წონა</w:t>
      </w:r>
      <w:r w:rsid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: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არაუმეტეს 7.5 კგ</w:t>
      </w:r>
    </w:p>
    <w:p w14:paraId="2DE323C8" w14:textId="6E559DAA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ძაბვა</w:t>
      </w:r>
      <w:r w:rsidR="00A7431D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: 110/130 220/240V 50/60 Hz</w:t>
      </w:r>
    </w:p>
    <w:p w14:paraId="3B8A0832" w14:textId="011A705F" w:rsidR="00404F0B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აპატარის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სიმძლავრე</w:t>
      </w:r>
      <w:r w:rsidR="00A7431D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: 40W </w:t>
      </w:r>
    </w:p>
    <w:p w14:paraId="7DE06B5F" w14:textId="2E620304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აპარატის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სიჩქარე</w:t>
      </w:r>
      <w:r w:rsidR="00A7431D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: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არანაკლებ 2.700 მონეტა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/წუთში</w:t>
      </w:r>
    </w:p>
    <w:p w14:paraId="258412CD" w14:textId="595DE97F" w:rsidR="00A7431D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მონეტის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დიამეტრის დიაპაზონი: 14-34 მმ</w:t>
      </w:r>
    </w:p>
    <w:p w14:paraId="1C507D97" w14:textId="02D39524" w:rsidR="003357B7" w:rsidRPr="00A7431D" w:rsidRDefault="00E67992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მონეტის </w:t>
      </w:r>
      <w:r w:rsidR="00404F0B">
        <w:rPr>
          <w:rFonts w:ascii="Sylfaen" w:eastAsia="Times New Roman" w:hAnsi="Sylfaen"/>
          <w:color w:val="333333"/>
          <w:sz w:val="20"/>
          <w:szCs w:val="20"/>
          <w:lang w:val="ka-GE"/>
        </w:rPr>
        <w:t>სისქის დიაპაზონი: 1.0-3.4 მმ</w:t>
      </w:r>
    </w:p>
    <w:p w14:paraId="2943C627" w14:textId="77777777" w:rsidR="002F4CDC" w:rsidRDefault="002F4CDC" w:rsidP="00EC1875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F463F40" w14:textId="4F169EA3" w:rsidR="00EC1875" w:rsidRPr="00EC1875" w:rsidRDefault="00EC1875" w:rsidP="00EC1875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EC1875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შენიშვნ</w:t>
      </w:r>
      <w:r w:rsidR="006353D3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 xml:space="preserve"> (ებ) </w:t>
      </w:r>
      <w:r w:rsidRPr="00EC1875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ა:</w:t>
      </w:r>
    </w:p>
    <w:p w14:paraId="635BBF7A" w14:textId="39F201CA" w:rsidR="00EC1875" w:rsidRPr="00A7431D" w:rsidRDefault="00EC1875" w:rsidP="006353D3">
      <w:pPr>
        <w:spacing w:after="0" w:line="240" w:lineRule="auto"/>
        <w:ind w:firstLine="360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ტენდერში გამარჯვებულმა კომპანიამ აუცილებელია წარმოადგინოს </w:t>
      </w:r>
      <w:r w:rsidR="00E67992">
        <w:rPr>
          <w:rFonts w:ascii="Sylfaen" w:eastAsia="Times New Roman" w:hAnsi="Sylfaen"/>
          <w:color w:val="333333"/>
          <w:sz w:val="20"/>
          <w:szCs w:val="20"/>
          <w:lang w:val="ka-GE"/>
        </w:rPr>
        <w:t>მონეტის სათვლელი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აპარატის ნიმუში არაუგვიენეს </w:t>
      </w:r>
      <w:r w:rsidR="00B9338B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ბანკის მოთხოვნიდან 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>10 (ათი) სამუშაო დღის ვადაში.</w:t>
      </w:r>
    </w:p>
    <w:p w14:paraId="28158BA1" w14:textId="77777777" w:rsidR="00EF6B13" w:rsidRDefault="00EF6B13" w:rsidP="00BF3C28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1B1CBE8" w14:textId="33DE6A78" w:rsidR="006353D3" w:rsidRPr="00A7431D" w:rsidRDefault="006353D3" w:rsidP="006353D3">
      <w:pPr>
        <w:spacing w:after="0" w:line="240" w:lineRule="auto"/>
        <w:ind w:firstLine="360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ბანკი ამჟამად იყენებს 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>მონეტის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სათვლელი აპარატის შემდეგ მოდელს - Scan Coin 303. პრეტენდენტი უფლებამოსილია წარმოადგინოს სხვა ტიპის ან/და ბრენდის საქონელი, რომლის სპეციფიკაცია უნდა იყოს არანაკლებ </w:t>
      </w:r>
      <w:bookmarkStart w:id="0" w:name="_GoBack"/>
      <w:bookmarkEnd w:id="0"/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მოთხოვნილი ტექნიკური სპეციფიკაციებისა.</w:t>
      </w:r>
    </w:p>
    <w:p w14:paraId="4E652BD8" w14:textId="77777777" w:rsidR="006353D3" w:rsidRDefault="006353D3" w:rsidP="00BF3C28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5D9A6193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ინსტრუქცია ტენდერში მონაწილეთათვის:</w:t>
      </w:r>
    </w:p>
    <w:p w14:paraId="069E2630" w14:textId="77777777" w:rsidR="00EF6B13" w:rsidRPr="00A7431D" w:rsidRDefault="00EF6B13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7C2BB47C" w14:textId="77777777" w:rsidR="00590AE2" w:rsidRPr="00A7431D" w:rsidRDefault="006C172F" w:rsidP="00A74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lastRenderedPageBreak/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33B7E9F7" w14:textId="7D672192" w:rsidR="00590AE2" w:rsidRPr="00A7431D" w:rsidRDefault="00840286" w:rsidP="00A74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საქონლის </w:t>
      </w:r>
      <w:r w:rsidR="00590AE2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შემოთავაზება უნდა მოხდეს ა.შ.შ. დოლარში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, ხოლო მომსახურების ეროვნულ ვალუტაში - ლარში.</w:t>
      </w:r>
    </w:p>
    <w:p w14:paraId="31977861" w14:textId="77777777" w:rsidR="006C172F" w:rsidRPr="00A7431D" w:rsidRDefault="006C172F" w:rsidP="00A74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FF34D6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E-mail-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ით ან ტელეფონით.</w:t>
      </w:r>
    </w:p>
    <w:p w14:paraId="1AF1FE4D" w14:textId="77777777" w:rsidR="006C172F" w:rsidRPr="00A7431D" w:rsidRDefault="006C172F" w:rsidP="00A74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ტენდერის დასრულების შემდეგ </w:t>
      </w:r>
      <w:r w:rsidR="006D6840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ბანკი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განიხილავს მოწოდებულ ინფორმაციას და გამოავლენს საუკეთესო პირობის მომწოდებელს.</w:t>
      </w:r>
    </w:p>
    <w:p w14:paraId="50B59A60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1F03CE0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ტენდერში მონაწილეობის პირობები:</w:t>
      </w:r>
    </w:p>
    <w:p w14:paraId="585C3BB5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56B82E4" w14:textId="1DC42158" w:rsidR="00C2326F" w:rsidRPr="00A7431D" w:rsidRDefault="00C2326F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ტენდერი ჩატარდება 3 ბიჯიანი ვაჭრობის პრინციპით</w:t>
      </w:r>
      <w:r w:rsidR="00EC516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შესასყიდი საქონლის ჯამურ თანხაზე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, ბიჯის ოდენობა განისაზღვრება </w:t>
      </w:r>
      <w:r w:rsidR="00EC516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არანაკლებ </w:t>
      </w:r>
      <w:r w:rsidR="00BF3C28">
        <w:rPr>
          <w:rFonts w:ascii="Sylfaen" w:eastAsia="Times New Roman" w:hAnsi="Sylfaen"/>
          <w:color w:val="333333"/>
          <w:sz w:val="20"/>
          <w:szCs w:val="20"/>
          <w:lang w:val="ka-GE"/>
        </w:rPr>
        <w:t>4</w:t>
      </w:r>
      <w:r w:rsidR="00AF5C16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00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დოლარი</w:t>
      </w:r>
      <w:r w:rsidR="00590AE2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 ოდენობით</w:t>
      </w:r>
      <w:r w:rsidR="00FC31C4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;</w:t>
      </w:r>
    </w:p>
    <w:p w14:paraId="6889537F" w14:textId="77777777" w:rsidR="00824B4C" w:rsidRPr="00A7431D" w:rsidRDefault="00824B4C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ფასი უნდა მოიცავდეს ყველა გადასახადს და ტრანსპორტირებას ქ.თბილისში.</w:t>
      </w:r>
    </w:p>
    <w:p w14:paraId="775513D6" w14:textId="77777777" w:rsidR="00FC31C4" w:rsidRPr="00A7431D" w:rsidRDefault="00FC31C4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ვაჭრობის დასრულების შემდგეგ ბანკი იტოვებს უფლებას მოლაპარაკება გააგრძელოს კომპანიებთან ასეთის საჭიროების შემთხვევაში;</w:t>
      </w:r>
    </w:p>
    <w:p w14:paraId="46153D73" w14:textId="4A864619" w:rsidR="00C24F17" w:rsidRPr="00A7431D" w:rsidRDefault="00A16082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გამარჯვებული კომპანია შეირჩევა კრიტერიუმების მიხედვით</w:t>
      </w:r>
      <w:r w:rsidR="00914CAC">
        <w:rPr>
          <w:rFonts w:ascii="Sylfaen" w:eastAsia="Times New Roman" w:hAnsi="Sylfaen"/>
          <w:color w:val="333333"/>
          <w:sz w:val="20"/>
          <w:szCs w:val="20"/>
        </w:rPr>
        <w:t>, მა</w:t>
      </w:r>
      <w:r w:rsidR="00914CAC">
        <w:rPr>
          <w:rFonts w:ascii="Sylfaen" w:eastAsia="Times New Roman" w:hAnsi="Sylfaen"/>
          <w:color w:val="333333"/>
          <w:sz w:val="20"/>
          <w:szCs w:val="20"/>
          <w:lang w:val="ka-GE"/>
        </w:rPr>
        <w:t>თ შორის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: </w:t>
      </w:r>
      <w:r w:rsidR="00EC516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საქონლის 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ფასი, </w:t>
      </w:r>
      <w:r w:rsidR="00840286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მომსახურები</w:t>
      </w:r>
      <w:r w:rsidR="00EC516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 ფასი</w:t>
      </w:r>
      <w:r w:rsidR="00840286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(გაწმენდის სამუშაოები)</w:t>
      </w:r>
      <w:r w:rsidR="00EC516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, 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საგარანტიო პერიოდი და მოწოდების ვადა;</w:t>
      </w:r>
    </w:p>
    <w:p w14:paraId="2863649A" w14:textId="5D4D558B" w:rsidR="00C24F17" w:rsidRDefault="00C24F17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ბანკი იტოვებს უფლებას ნებისმიერ დროს შეწყვიტოს</w:t>
      </w:r>
      <w:r w:rsid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, დააკორექტიროს</w:t>
      </w:r>
      <w:r w:rsidRP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 xml:space="preserve"> ან</w:t>
      </w:r>
      <w:r w:rsidR="000E738B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/და</w:t>
      </w:r>
      <w:r w:rsidRP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 xml:space="preserve"> გადაავადოს ტენდერი საკუთარი შეხედულებისამებრ, ასევე ვაჭრობის დასრულების </w:t>
      </w:r>
      <w:r w:rsid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 xml:space="preserve">შემდეგ (საჭიროების შემთხვევაში) </w:t>
      </w:r>
      <w:r w:rsidRP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აწარმოოს დამატებითი მოლაპარაკებები პრეტენდენტებთან ფასებთან</w:t>
      </w:r>
      <w:r w:rsid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, ტექნიკურ</w:t>
      </w:r>
      <w:r w:rsidRPr="00914CAC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 xml:space="preserve"> ან/და სხვა საკითხებთან დაკავშირებით</w:t>
      </w: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;</w:t>
      </w:r>
    </w:p>
    <w:p w14:paraId="1B8DEEB2" w14:textId="3CB90127" w:rsidR="00914CAC" w:rsidRPr="00A7431D" w:rsidRDefault="00914CAC" w:rsidP="00A743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>ბანკი იტოვებს უფლებას</w:t>
      </w:r>
      <w:r w:rsidR="001E1259">
        <w:rPr>
          <w:rFonts w:ascii="Sylfaen" w:eastAsia="Times New Roman" w:hAnsi="Sylfaen"/>
          <w:color w:val="333333"/>
          <w:sz w:val="20"/>
          <w:szCs w:val="20"/>
          <w:lang w:val="ka-GE"/>
        </w:rPr>
        <w:t>,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პირველ ეტაპზე მოახდინოს 20 (ოცი) ერთეული აპარატის შესყიდვა, ხოლო დარჩენილი 15 (თხუთმეტი) წლის მეორე ნახევარში რომლის შესახებ </w:t>
      </w:r>
      <w:r w:rsidR="00426AA7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ეცნობება პრეტენდენტს </w:t>
      </w:r>
      <w:r w:rsidR="00B539E8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ხელშეკრულების გაფორმებამდე, ხოლო </w:t>
      </w:r>
      <w:proofErr w:type="spellStart"/>
      <w:r w:rsidR="00B539E8">
        <w:rPr>
          <w:rFonts w:ascii="Sylfaen" w:eastAsia="Times New Roman" w:hAnsi="Sylfaen"/>
          <w:color w:val="333333"/>
          <w:sz w:val="20"/>
          <w:szCs w:val="20"/>
        </w:rPr>
        <w:t>ხელ</w:t>
      </w:r>
      <w:proofErr w:type="spellEnd"/>
      <w:r w:rsidR="00B539E8">
        <w:rPr>
          <w:rFonts w:ascii="Sylfaen" w:eastAsia="Times New Roman" w:hAnsi="Sylfaen"/>
          <w:color w:val="333333"/>
          <w:sz w:val="20"/>
          <w:szCs w:val="20"/>
          <w:lang w:val="ka-GE"/>
        </w:rPr>
        <w:t>შეკრულება გაფორმდება ჯამში 35 ცალის მოწოდებაზე;</w:t>
      </w:r>
    </w:p>
    <w:p w14:paraId="162405C2" w14:textId="77777777" w:rsidR="00590AE2" w:rsidRPr="00A7431D" w:rsidRDefault="00590AE2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7EFD9F31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2D11216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ანგარიშსწორების პირობა:</w:t>
      </w:r>
    </w:p>
    <w:p w14:paraId="09AFB66E" w14:textId="77777777" w:rsidR="00EF6B13" w:rsidRPr="00A7431D" w:rsidRDefault="00EF6B13" w:rsidP="00A7431D">
      <w:p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34F644AC" w14:textId="77777777" w:rsidR="006C172F" w:rsidRPr="00A7431D" w:rsidRDefault="006C172F" w:rsidP="00A7431D">
      <w:p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ხელშეკრულების ფარგლებში ანგარიშსწორება განხორციელდება მოთხოვნილი პროდუქციის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66B5427D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52C4A49A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სატენდერო მოთხოვნები:</w:t>
      </w:r>
    </w:p>
    <w:p w14:paraId="5CEB9710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550F28F6" w14:textId="77777777" w:rsidR="006C172F" w:rsidRPr="00A7431D" w:rsidRDefault="006C172F" w:rsidP="00A74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1A351A4" w14:textId="77777777" w:rsidR="006C172F" w:rsidRPr="00A7431D" w:rsidRDefault="006C172F" w:rsidP="00A74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ტენერში მონაწილეობის მისაღებად აუცილებელია ორგანიზაციამ შეავსოს </w:t>
      </w:r>
      <w:r w:rsidR="009B3B87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წინამდებარე დოკუმენტი;</w:t>
      </w:r>
    </w:p>
    <w:p w14:paraId="317FC61D" w14:textId="77777777" w:rsidR="006C172F" w:rsidRDefault="006C172F" w:rsidP="00A74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შემოთავაზებული ძირითადი პროდუქცია სრულად უნდა აკმაყოფილებდეს დოკუმენტაციაში მოცემულ პარამეტრებს.</w:t>
      </w:r>
    </w:p>
    <w:p w14:paraId="7ADB7D63" w14:textId="7B6EA916" w:rsidR="009F2790" w:rsidRPr="009F2790" w:rsidRDefault="009F2790" w:rsidP="009F2790">
      <w:pPr>
        <w:pStyle w:val="ListParagraph"/>
        <w:numPr>
          <w:ilvl w:val="0"/>
          <w:numId w:val="13"/>
        </w:numPr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9F2790">
        <w:rPr>
          <w:rFonts w:ascii="Sylfaen" w:eastAsia="Times New Roman" w:hAnsi="Sylfaen"/>
          <w:color w:val="333333"/>
          <w:sz w:val="20"/>
          <w:szCs w:val="20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0DE00F98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67C2F184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3CB830BE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0132B00F" w14:textId="24FA812B" w:rsidR="00EF6B13" w:rsidRPr="00A7431D" w:rsidRDefault="00E21CCD" w:rsidP="00A74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პრეტენდენტმა უნდა შეავსოს 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წინამდებარ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>ე დოკუმენტში არსებული ცხრილები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>დაიბეჭდოს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და უფლებამოსილი პირის მიერ</w:t>
      </w:r>
      <w:r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ხელმოწერილი აიტვირთოს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;</w:t>
      </w:r>
    </w:p>
    <w:p w14:paraId="03FA70F5" w14:textId="0DE33CC7" w:rsidR="00233CE6" w:rsidRDefault="001B3503" w:rsidP="00A74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შემოთავაზებული საქონლის დეტალური სპეციფიკაციები</w:t>
      </w:r>
      <w:r w:rsidR="00E21CC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(ბროშურის ან სხვა სახით);</w:t>
      </w:r>
    </w:p>
    <w:p w14:paraId="1098EA6C" w14:textId="39CC2006" w:rsidR="00EF6B13" w:rsidRPr="00A7431D" w:rsidRDefault="001B3503" w:rsidP="00A74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საგარანტიო პირობები;</w:t>
      </w:r>
    </w:p>
    <w:p w14:paraId="5565E2D6" w14:textId="77777777" w:rsidR="00EF6B13" w:rsidRPr="00A7431D" w:rsidRDefault="006C172F" w:rsidP="00A74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ამონაწერი სამეწარმეო რეესტრიდან;</w:t>
      </w:r>
    </w:p>
    <w:p w14:paraId="40BC1A86" w14:textId="77777777" w:rsidR="00EF6B13" w:rsidRPr="00A7431D" w:rsidRDefault="00EF6B13" w:rsidP="00A74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საბანკო რეკვიზიტები;</w:t>
      </w:r>
    </w:p>
    <w:p w14:paraId="0B5262B2" w14:textId="77777777" w:rsidR="006C172F" w:rsidRPr="00A7431D" w:rsidRDefault="006C172F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72A0FC3C" w14:textId="77777777" w:rsidR="00EF6B13" w:rsidRPr="00A7431D" w:rsidRDefault="00EF6B13" w:rsidP="00A7431D">
      <w:p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703B8A7B" w14:textId="77777777" w:rsidR="009D1DBE" w:rsidRPr="008D0DF7" w:rsidRDefault="006C172F" w:rsidP="008D0DF7">
      <w:pPr>
        <w:spacing w:after="0" w:line="240" w:lineRule="auto"/>
        <w:jc w:val="both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8D0DF7">
        <w:rPr>
          <w:rFonts w:ascii="Sylfaen" w:eastAsia="Times New Roman" w:hAnsi="Sylfaen"/>
          <w:color w:val="333333"/>
          <w:sz w:val="20"/>
          <w:szCs w:val="20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751C3B" w14:textId="373C84F9" w:rsidR="006C172F" w:rsidRPr="008D0DF7" w:rsidRDefault="006C172F" w:rsidP="008D0DF7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8D0DF7">
        <w:rPr>
          <w:rFonts w:ascii="Sylfaen" w:eastAsia="Times New Roman" w:hAnsi="Sylfaen"/>
          <w:color w:val="333333"/>
          <w:sz w:val="20"/>
          <w:szCs w:val="2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</w:t>
      </w:r>
      <w:r w:rsidR="00C111B3" w:rsidRPr="008D0DF7">
        <w:rPr>
          <w:rFonts w:ascii="Sylfaen" w:eastAsia="Times New Roman" w:hAnsi="Sylfaen"/>
          <w:color w:val="333333"/>
          <w:sz w:val="20"/>
          <w:szCs w:val="20"/>
          <w:lang w:val="ka-GE"/>
        </w:rPr>
        <w:t>.</w:t>
      </w:r>
      <w:r w:rsidR="00C111B3" w:rsidRPr="008D0DF7">
        <w:rPr>
          <w:rFonts w:ascii="Sylfaen" w:eastAsia="Times New Roman" w:hAnsi="Sylfaen"/>
          <w:color w:val="333333"/>
          <w:sz w:val="20"/>
          <w:szCs w:val="20"/>
          <w:lang w:val="ka-GE"/>
        </w:rPr>
        <w:br/>
      </w:r>
    </w:p>
    <w:p w14:paraId="0EC8C3BA" w14:textId="77777777" w:rsidR="00EF6B13" w:rsidRPr="00A7431D" w:rsidRDefault="00EF6B13" w:rsidP="00A7431D">
      <w:pPr>
        <w:spacing w:after="0" w:line="240" w:lineRule="auto"/>
        <w:jc w:val="center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47096434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ტენდერის ჩაბარების პირობები:</w:t>
      </w:r>
    </w:p>
    <w:p w14:paraId="4E55EA1E" w14:textId="77777777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შემოთავაზებები უნდა აიტვირთოს შესყიდვების ვებ-გვერდზე: </w:t>
      </w:r>
      <w:hyperlink r:id="rId9" w:history="1">
        <w:r w:rsidRPr="00A7431D">
          <w:rPr>
            <w:rFonts w:ascii="Sylfaen" w:eastAsia="Times New Roman" w:hAnsi="Sylfaen"/>
            <w:color w:val="333333"/>
            <w:sz w:val="20"/>
            <w:szCs w:val="20"/>
            <w:lang w:val="ka-GE"/>
          </w:rPr>
          <w:t>www.tenders.ge</w:t>
        </w:r>
      </w:hyperlink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;</w:t>
      </w:r>
    </w:p>
    <w:p w14:paraId="510368D3" w14:textId="389ABE08" w:rsidR="006C172F" w:rsidRPr="00A7431D" w:rsidRDefault="006C172F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სატენდერო წინადადების წარმოდგენის ბოლო ვადა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: 202</w:t>
      </w:r>
      <w:r w:rsidR="009D1DBE">
        <w:rPr>
          <w:rFonts w:ascii="Sylfaen" w:eastAsia="Times New Roman" w:hAnsi="Sylfaen"/>
          <w:color w:val="333333"/>
          <w:sz w:val="20"/>
          <w:szCs w:val="20"/>
          <w:lang w:val="ka-GE"/>
        </w:rPr>
        <w:t>1</w:t>
      </w:r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წლის </w:t>
      </w:r>
      <w:r w:rsidR="00A41D2C">
        <w:rPr>
          <w:rFonts w:ascii="Sylfaen" w:eastAsia="Times New Roman" w:hAnsi="Sylfaen"/>
          <w:color w:val="333333"/>
          <w:sz w:val="20"/>
          <w:szCs w:val="20"/>
          <w:lang w:val="ka-GE"/>
        </w:rPr>
        <w:t>2</w:t>
      </w:r>
      <w:r w:rsidR="00E21CCD">
        <w:rPr>
          <w:rFonts w:ascii="Sylfaen" w:eastAsia="Times New Roman" w:hAnsi="Sylfaen"/>
          <w:color w:val="333333"/>
          <w:sz w:val="20"/>
          <w:szCs w:val="20"/>
          <w:lang w:val="ka-GE"/>
        </w:rPr>
        <w:t>0</w:t>
      </w:r>
      <w:r w:rsidR="009D1DBE">
        <w:rPr>
          <w:rFonts w:ascii="Sylfaen" w:eastAsia="Times New Roman" w:hAnsi="Sylfaen"/>
          <w:color w:val="333333"/>
          <w:sz w:val="20"/>
          <w:szCs w:val="20"/>
        </w:rPr>
        <w:t xml:space="preserve"> </w:t>
      </w:r>
      <w:proofErr w:type="spellStart"/>
      <w:r w:rsidR="009D1DBE">
        <w:rPr>
          <w:rFonts w:ascii="Sylfaen" w:eastAsia="Times New Roman" w:hAnsi="Sylfaen"/>
          <w:color w:val="333333"/>
          <w:sz w:val="20"/>
          <w:szCs w:val="20"/>
        </w:rPr>
        <w:t>იანვარი</w:t>
      </w:r>
      <w:proofErr w:type="spellEnd"/>
      <w:r w:rsidR="00EF6B13"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 xml:space="preserve"> 17:00 საათი</w:t>
      </w:r>
    </w:p>
    <w:p w14:paraId="0AD93E06" w14:textId="77777777" w:rsidR="00EF6B13" w:rsidRPr="00A7431D" w:rsidRDefault="00EF6B13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14:paraId="4B2D17B6" w14:textId="77777777" w:rsidR="00277003" w:rsidRPr="00A7431D" w:rsidRDefault="006C172F" w:rsidP="00A7431D">
      <w:pPr>
        <w:spacing w:after="0" w:line="240" w:lineRule="auto"/>
        <w:rPr>
          <w:rFonts w:ascii="Sylfaen" w:eastAsia="Times New Roman" w:hAnsi="Sylfaen"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1BF38F6A" w14:textId="77777777" w:rsidR="00A80970" w:rsidRPr="00E90D3B" w:rsidRDefault="006C172F" w:rsidP="00A7431D">
      <w:pPr>
        <w:spacing w:after="0" w:line="240" w:lineRule="auto"/>
        <w:rPr>
          <w:rFonts w:ascii="Sylfaen" w:eastAsia="Times New Roman" w:hAnsi="Sylfaen"/>
          <w:b/>
          <w:color w:val="333333"/>
          <w:sz w:val="20"/>
          <w:szCs w:val="20"/>
          <w:lang w:val="ka-GE"/>
        </w:rPr>
      </w:pPr>
      <w:r w:rsidRPr="00A7431D">
        <w:rPr>
          <w:rFonts w:ascii="Sylfaen" w:eastAsia="Times New Roman" w:hAnsi="Sylfaen"/>
          <w:color w:val="333333"/>
          <w:sz w:val="20"/>
          <w:szCs w:val="20"/>
          <w:lang w:val="ka-GE"/>
        </w:rPr>
        <w:br/>
      </w:r>
      <w:r w:rsidRPr="00E90D3B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t>კონსტანტინე მეტრეველი</w:t>
      </w:r>
      <w:r w:rsidRPr="00E90D3B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br/>
        <w:t>ტელ: +995 595 03 64 84</w:t>
      </w:r>
      <w:r w:rsidRPr="00E90D3B">
        <w:rPr>
          <w:rFonts w:ascii="Sylfaen" w:eastAsia="Times New Roman" w:hAnsi="Sylfaen"/>
          <w:b/>
          <w:color w:val="333333"/>
          <w:sz w:val="20"/>
          <w:szCs w:val="20"/>
          <w:lang w:val="ka-GE"/>
        </w:rPr>
        <w:br/>
        <w:t>ელ. ფოსტა: </w:t>
      </w:r>
      <w:hyperlink r:id="rId10" w:history="1">
        <w:r w:rsidRPr="00E90D3B">
          <w:rPr>
            <w:rFonts w:ascii="Sylfaen" w:hAnsi="Sylfaen"/>
            <w:b/>
            <w:color w:val="333333"/>
            <w:sz w:val="20"/>
            <w:szCs w:val="20"/>
            <w:lang w:val="ka-GE"/>
          </w:rPr>
          <w:t>ko.metreveli@bog.ge</w:t>
        </w:r>
      </w:hyperlink>
    </w:p>
    <w:sectPr w:rsidR="00A80970" w:rsidRPr="00E90D3B" w:rsidSect="00FE6FBF">
      <w:headerReference w:type="default" r:id="rId11"/>
      <w:footerReference w:type="default" r:id="rId12"/>
      <w:pgSz w:w="12240" w:h="15840"/>
      <w:pgMar w:top="1531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0F48" w14:textId="77777777" w:rsidR="0069115B" w:rsidRDefault="0069115B" w:rsidP="00C57317">
      <w:pPr>
        <w:spacing w:after="0" w:line="240" w:lineRule="auto"/>
      </w:pPr>
      <w:r>
        <w:separator/>
      </w:r>
    </w:p>
  </w:endnote>
  <w:endnote w:type="continuationSeparator" w:id="0">
    <w:p w14:paraId="0B124684" w14:textId="77777777" w:rsidR="0069115B" w:rsidRDefault="0069115B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6F61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975E" w14:textId="77777777" w:rsidR="0069115B" w:rsidRDefault="0069115B" w:rsidP="00C57317">
      <w:pPr>
        <w:spacing w:after="0" w:line="240" w:lineRule="auto"/>
      </w:pPr>
      <w:r>
        <w:separator/>
      </w:r>
    </w:p>
  </w:footnote>
  <w:footnote w:type="continuationSeparator" w:id="0">
    <w:p w14:paraId="724E91BD" w14:textId="77777777" w:rsidR="0069115B" w:rsidRDefault="0069115B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E418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2296DF23" wp14:editId="10FB14D0">
          <wp:extent cx="2867025" cy="657225"/>
          <wp:effectExtent l="0" t="0" r="952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0A29"/>
    <w:multiLevelType w:val="hybridMultilevel"/>
    <w:tmpl w:val="68E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C5DF5"/>
    <w:multiLevelType w:val="hybridMultilevel"/>
    <w:tmpl w:val="9CC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D8D"/>
    <w:multiLevelType w:val="hybridMultilevel"/>
    <w:tmpl w:val="5860B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278"/>
    <w:multiLevelType w:val="hybridMultilevel"/>
    <w:tmpl w:val="FF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2FFD"/>
    <w:multiLevelType w:val="hybridMultilevel"/>
    <w:tmpl w:val="813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B05FF"/>
    <w:multiLevelType w:val="hybridMultilevel"/>
    <w:tmpl w:val="7256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E5904"/>
    <w:multiLevelType w:val="hybridMultilevel"/>
    <w:tmpl w:val="892E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3C20"/>
    <w:rsid w:val="00023B91"/>
    <w:rsid w:val="000376B8"/>
    <w:rsid w:val="00066BB9"/>
    <w:rsid w:val="000C489E"/>
    <w:rsid w:val="000E738B"/>
    <w:rsid w:val="001000BD"/>
    <w:rsid w:val="001219A0"/>
    <w:rsid w:val="001B3503"/>
    <w:rsid w:val="001C5A20"/>
    <w:rsid w:val="001D135A"/>
    <w:rsid w:val="001E1259"/>
    <w:rsid w:val="001E3349"/>
    <w:rsid w:val="001E7159"/>
    <w:rsid w:val="00213AAB"/>
    <w:rsid w:val="00233CE6"/>
    <w:rsid w:val="00247DEF"/>
    <w:rsid w:val="00276781"/>
    <w:rsid w:val="00277003"/>
    <w:rsid w:val="002925C5"/>
    <w:rsid w:val="002B205C"/>
    <w:rsid w:val="002E7B26"/>
    <w:rsid w:val="002F4CDC"/>
    <w:rsid w:val="003357B7"/>
    <w:rsid w:val="003578C7"/>
    <w:rsid w:val="00375E1E"/>
    <w:rsid w:val="003B586D"/>
    <w:rsid w:val="00404F0B"/>
    <w:rsid w:val="00426AA7"/>
    <w:rsid w:val="005419A4"/>
    <w:rsid w:val="00542625"/>
    <w:rsid w:val="00546127"/>
    <w:rsid w:val="005704DA"/>
    <w:rsid w:val="00590AE2"/>
    <w:rsid w:val="00595B3C"/>
    <w:rsid w:val="005B02B1"/>
    <w:rsid w:val="005E718C"/>
    <w:rsid w:val="0060093D"/>
    <w:rsid w:val="00601E1C"/>
    <w:rsid w:val="00610669"/>
    <w:rsid w:val="006353D3"/>
    <w:rsid w:val="00644A8E"/>
    <w:rsid w:val="0069115B"/>
    <w:rsid w:val="006C172F"/>
    <w:rsid w:val="006D6840"/>
    <w:rsid w:val="006F51EE"/>
    <w:rsid w:val="0070104B"/>
    <w:rsid w:val="0070258F"/>
    <w:rsid w:val="00703A64"/>
    <w:rsid w:val="0071786F"/>
    <w:rsid w:val="007226BE"/>
    <w:rsid w:val="00794E84"/>
    <w:rsid w:val="007D6809"/>
    <w:rsid w:val="00801E12"/>
    <w:rsid w:val="00806B56"/>
    <w:rsid w:val="00824B4C"/>
    <w:rsid w:val="00836BAF"/>
    <w:rsid w:val="00840286"/>
    <w:rsid w:val="00845F94"/>
    <w:rsid w:val="0086292A"/>
    <w:rsid w:val="00865B9F"/>
    <w:rsid w:val="008A0D2E"/>
    <w:rsid w:val="008D0DF7"/>
    <w:rsid w:val="00914CAC"/>
    <w:rsid w:val="00971354"/>
    <w:rsid w:val="0097777D"/>
    <w:rsid w:val="009B3B87"/>
    <w:rsid w:val="009C134D"/>
    <w:rsid w:val="009D1DBE"/>
    <w:rsid w:val="009E4C30"/>
    <w:rsid w:val="009F2790"/>
    <w:rsid w:val="00A07782"/>
    <w:rsid w:val="00A16082"/>
    <w:rsid w:val="00A41D2C"/>
    <w:rsid w:val="00A425BD"/>
    <w:rsid w:val="00A5019B"/>
    <w:rsid w:val="00A722E6"/>
    <w:rsid w:val="00A7431D"/>
    <w:rsid w:val="00A80970"/>
    <w:rsid w:val="00AF5C16"/>
    <w:rsid w:val="00B05044"/>
    <w:rsid w:val="00B23F6E"/>
    <w:rsid w:val="00B250C6"/>
    <w:rsid w:val="00B42F45"/>
    <w:rsid w:val="00B435DE"/>
    <w:rsid w:val="00B539E8"/>
    <w:rsid w:val="00B70E66"/>
    <w:rsid w:val="00B77585"/>
    <w:rsid w:val="00B9338B"/>
    <w:rsid w:val="00BF3C28"/>
    <w:rsid w:val="00C0062C"/>
    <w:rsid w:val="00C111B3"/>
    <w:rsid w:val="00C2326F"/>
    <w:rsid w:val="00C24F17"/>
    <w:rsid w:val="00C36BEC"/>
    <w:rsid w:val="00C57317"/>
    <w:rsid w:val="00C6482E"/>
    <w:rsid w:val="00C84F31"/>
    <w:rsid w:val="00CC3051"/>
    <w:rsid w:val="00CD7727"/>
    <w:rsid w:val="00D45C31"/>
    <w:rsid w:val="00D46C41"/>
    <w:rsid w:val="00D51A7C"/>
    <w:rsid w:val="00DB1182"/>
    <w:rsid w:val="00DD7EB8"/>
    <w:rsid w:val="00E2147B"/>
    <w:rsid w:val="00E21CCD"/>
    <w:rsid w:val="00E67992"/>
    <w:rsid w:val="00E90D3B"/>
    <w:rsid w:val="00EA3C44"/>
    <w:rsid w:val="00EA51F6"/>
    <w:rsid w:val="00EA5DB9"/>
    <w:rsid w:val="00EC1875"/>
    <w:rsid w:val="00EC5167"/>
    <w:rsid w:val="00EF6B13"/>
    <w:rsid w:val="00F179E1"/>
    <w:rsid w:val="00F47BB7"/>
    <w:rsid w:val="00FC31C4"/>
    <w:rsid w:val="00FE34A9"/>
    <w:rsid w:val="00FE6FBF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85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/" TargetMode="External"/><Relationship Id="rId10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B5A8-B95A-D74D-9EAC-3E43C28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T</cp:lastModifiedBy>
  <cp:revision>109</cp:revision>
  <cp:lastPrinted>2020-03-11T11:23:00Z</cp:lastPrinted>
  <dcterms:created xsi:type="dcterms:W3CDTF">2019-02-25T10:09:00Z</dcterms:created>
  <dcterms:modified xsi:type="dcterms:W3CDTF">2021-01-06T06:54:00Z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1583925800</vt:lpwstr>
  </property>
  <property fmtid="{D5CDD505-2E9C-101B-9397-08002B2CF9AE}" pid="5" name="DLPManualFileClassificationVersion">
    <vt:lpwstr>11.3.2.8</vt:lpwstr>
  </property>
</Properties>
</file>